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2" w:rsidRPr="008969E2" w:rsidRDefault="00EE4213" w:rsidP="008969E2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Toc173682637"/>
      <w:bookmarkStart w:id="1" w:name="_Toc173682500"/>
      <w:bookmarkStart w:id="2" w:name="_Toc172686547"/>
      <w:bookmarkStart w:id="3" w:name="_Toc172686495"/>
      <w:r w:rsidRPr="008969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r w:rsidR="008969E2" w:rsidRPr="008969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озможные неисправности центробежно-ударных </w:t>
      </w:r>
      <w:r w:rsidR="00174A1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дробилок и </w:t>
      </w:r>
      <w:r w:rsidR="008969E2" w:rsidRPr="008969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мельниц,</w:t>
      </w:r>
    </w:p>
    <w:p w:rsidR="00EE4213" w:rsidRPr="008969E2" w:rsidRDefault="008969E2" w:rsidP="008969E2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969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их причины и методы устранения</w:t>
      </w:r>
      <w:bookmarkEnd w:id="0"/>
      <w:bookmarkEnd w:id="1"/>
      <w:bookmarkEnd w:id="2"/>
      <w:bookmarkEnd w:id="3"/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9E2" w:rsidRPr="008969E2" w:rsidRDefault="008969E2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редакции сайта: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</w:t>
      </w:r>
      <w:r w:rsidR="0089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статье кратко 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излагаются возможные причины возникновения неисправностей, связанных с нарушениями режимов эксплуатации </w:t>
      </w:r>
      <w:r w:rsidR="00F9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центробежно-ударных дробилок и мельниц на воздушном подвесе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износом элементов ускорителя, нарушениями допусков и регулировок основных узлов центрального модуля, т.е. таких неисправностей, правильное и своевременное диагностирование которых помогает избежать возникновения аварийных ситуаций и увеличить сроки нормального функционирования </w:t>
      </w:r>
      <w:r w:rsidR="00F9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969E2" w:rsidRDefault="008969E2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GoBack"/>
      <w:bookmarkEnd w:id="4"/>
    </w:p>
    <w:p w:rsidR="008969E2" w:rsidRPr="008969E2" w:rsidRDefault="008969E2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8969E2" w:rsidRDefault="008969E2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1.Диагностика неисправностей.</w:t>
      </w:r>
    </w:p>
    <w:p w:rsidR="008969E2" w:rsidRDefault="005B2095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5B2095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2.Падение напора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вентилятора наддува воздушного подвеса</w:t>
      </w:r>
    </w:p>
    <w:p w:rsidR="005B2095" w:rsidRDefault="005B2095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5B2095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3.Проблемы при пуске ротора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воздушного подвеса</w:t>
      </w:r>
    </w:p>
    <w:p w:rsidR="005B2095" w:rsidRDefault="00174A19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174A1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4.Падение оборотов</w:t>
      </w:r>
    </w:p>
    <w:p w:rsidR="00174A19" w:rsidRDefault="00174A19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174A1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5.Повышенная вибрация</w:t>
      </w:r>
    </w:p>
    <w:p w:rsidR="00174A19" w:rsidRPr="00174A19" w:rsidRDefault="00174A19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9E2" w:rsidRPr="008969E2" w:rsidRDefault="008969E2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1.Диагностика неисправностей.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управления мельницей обеспечивает контроль давления воздуха в воздушной опоре, уровня вибрации на корпусе и частоты вращения ротора мельницы. Практически любое нарушение нормальной работы мельницы вызывает изменения в значениях этих параметров, что позволяет использовать их в качестве диагностирующих. На практике это означает, что для каждого из контролируемых параметров </w:t>
      </w:r>
      <w:proofErr w:type="spell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</w:t>
      </w:r>
      <w:proofErr w:type="spellEnd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</w:t>
      </w:r>
      <w:proofErr w:type="spell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аппаратно</w:t>
      </w:r>
      <w:proofErr w:type="spellEnd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установлен диапазон допустимых значений, соответствующих нормальному режиму работы мельницы. Выход значений хотя бы одного из этих параметров за пределы соответствующего диапазона </w:t>
      </w: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 на недопустимые условия работы мельницы и инициирует</w:t>
      </w:r>
      <w:proofErr w:type="gramEnd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последовательность команд, приводящих к аварийной остановке мельницы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Мельница будет вовремя остановлена автоматикой системы управления, если происходит резкое и практически неограниченное изменение значений контролируемых параметров в результате «катастрофических» нарушений в ее работе.</w:t>
      </w:r>
    </w:p>
    <w:p w:rsidR="005B2095" w:rsidRDefault="005B2095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095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 в случае, если в мельнице происходят какие-либо медленные процессы, связанные с постепенным износом элементов ускорителя или другими накапливаемыми дефектами, изменение контролируемых параметров может быть недостаточно сильным, чтобы привести к остановке мельницы, и в то же время достаточным для того, чтобы можно было говорить о появлении значимых отклонений в работе мельницы. </w:t>
      </w:r>
      <w:proofErr w:type="gramEnd"/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</w:t>
      </w:r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 эксплуатации мельницы оператору рекомендуется постоянно следить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фактическими значениями уровня вибрации и частоты вращения ротора, индицируемыми на лицевой панели шкафа управления, чтобы иметь возможность самостоятельно принять решение об остановке мельницы в случае, если эти значения находятся вблизи установленных пороговых значений в течение достаточно длительного времени или имеют явную тенденцию к изменению в нежелательном направлении.</w:t>
      </w:r>
      <w:proofErr w:type="gramEnd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может способствовать более раннему обнаружению причин, вызвавших нарушения работы мельницы, и, следовательно, позволит увеличить срок ее безаварийной работы.</w:t>
      </w:r>
    </w:p>
    <w:p w:rsidR="005B2095" w:rsidRDefault="005B2095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 приведен перечень возможных неисправностей с указанием причин их возникновения, способов диагностики и устранения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2"/>
        <w:sym w:font="Symbol" w:char="F02A"/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095" w:rsidRDefault="005B2095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2.</w:t>
      </w:r>
      <w:r w:rsidR="00EE4213"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«Падение напора» 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(</w:t>
      </w:r>
      <w:proofErr w:type="gramStart"/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снизился создаваемый вентилятором напор воздуха и сработал</w:t>
      </w:r>
      <w:proofErr w:type="gramEnd"/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датчик-реле напора):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213" w:rsidRPr="00EE4213" w:rsidRDefault="00EE4213" w:rsidP="008969E2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Разрыв</w:t>
      </w:r>
      <w:r w:rsidRPr="00EE42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воздуховода, улиты вентилятора или иные повреждения системы подвода воздуха: повреждения локализуются по струям выходящего под давлением воздуха. </w:t>
      </w:r>
    </w:p>
    <w:p w:rsidR="00EE4213" w:rsidRPr="00EE4213" w:rsidRDefault="00EE4213" w:rsidP="008969E2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Повреждение</w:t>
      </w:r>
      <w:r w:rsidRPr="00EE42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рабочего колеса вентилятора вследствие попадания инородных тел или абразивного износа: определяется по наличию сильной вибрации на корпусе электродвигателя и улиты вентилятора, устраняется путем замены или ремонта рабочего колеса с последующей его балансировкой.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A19" w:rsidRDefault="005B2095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3.</w:t>
      </w:r>
      <w:r w:rsidR="00EE4213"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«Проблемы при пуске ротора» 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(в режиме «Пуск ротора» частота вращения ротора за 20 секунд не достигла 60 </w:t>
      </w:r>
      <w:proofErr w:type="gramStart"/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об</w:t>
      </w:r>
      <w:proofErr w:type="gramEnd"/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/мин):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EE4213" w:rsidRPr="00EE4213" w:rsidRDefault="00EE4213" w:rsidP="008969E2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Неисправен датчик оборотов ротора: проверить срабатывание датчика во время прохождения мимо него закрепленного на переходной втулке «флажка», расстояние до которого должно быть около 3 мм, в случае выхода из строя заменить.</w:t>
      </w:r>
    </w:p>
    <w:p w:rsidR="00EE4213" w:rsidRPr="00EE4213" w:rsidRDefault="00EE4213" w:rsidP="008969E2">
      <w:pPr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Сильная прецессия системы ротор + ускоритель: </w:t>
      </w:r>
      <w:proofErr w:type="spellStart"/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бóльшая</w:t>
      </w:r>
      <w:proofErr w:type="spellEnd"/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часть подводимой от двигателя энергии тратится на возбуждение нутационных колебаний (см. ниже).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174A19" w:rsidRDefault="00174A19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3.</w:t>
      </w:r>
      <w:r w:rsidR="00EE4213"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«Падение оборотов» 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(</w:t>
      </w:r>
      <w:bookmarkStart w:id="5" w:name="OLE_LINK1"/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в рабочем режиме упала частота вращения ротора мельницы</w:t>
      </w:r>
      <w:bookmarkEnd w:id="5"/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):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EE4213" w:rsidRPr="00EE4213" w:rsidRDefault="00EE4213" w:rsidP="008969E2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Чрезмерная скорость подачи материала на вход мельницы (перегрузка по питанию): необходимо уменьшить количество исходного материала, подаваемого на вход мельницы в единицу времени.</w:t>
      </w:r>
    </w:p>
    <w:p w:rsidR="00EE4213" w:rsidRPr="00EE4213" w:rsidRDefault="00EE4213" w:rsidP="008969E2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Находящийся в камере измельчения материал препятствует вращению ускорителя в результате «завала» мельницы сверху: </w:t>
      </w: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переполнены и забиты</w:t>
      </w:r>
      <w:proofErr w:type="gramEnd"/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каналы ускорителя или карманы камеры измельчения. Причиной этого могут являться:</w:t>
      </w:r>
    </w:p>
    <w:p w:rsidR="00EE4213" w:rsidRPr="00EE4213" w:rsidRDefault="00EE4213" w:rsidP="008969E2">
      <w:pPr>
        <w:numPr>
          <w:ilvl w:val="1"/>
          <w:numId w:val="4"/>
        </w:numPr>
        <w:tabs>
          <w:tab w:val="num" w:pos="0"/>
          <w:tab w:val="num" w:pos="90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чрезмерно высокая влажность или недопустимо высокое содержание глинистой фракции в исходном дробимом материале;</w:t>
      </w:r>
    </w:p>
    <w:p w:rsidR="00EE4213" w:rsidRPr="00EE4213" w:rsidRDefault="00EE4213" w:rsidP="008969E2">
      <w:pPr>
        <w:numPr>
          <w:ilvl w:val="1"/>
          <w:numId w:val="4"/>
        </w:numPr>
        <w:tabs>
          <w:tab w:val="num" w:pos="0"/>
          <w:tab w:val="num" w:pos="90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неправильно отрегулированное положение уголков </w:t>
      </w:r>
      <w:r w:rsidRPr="00EE42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</w:t>
      </w: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ускорителе (см. </w:t>
      </w:r>
      <w:r w:rsidRPr="00EE421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рис. 11</w:t>
      </w: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), приводящее к излишнему накоплению материала в каналах ускорителя с последующей их закупоркой.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Следует произвести очистку каналов ускорителя и камеры измельчения от налипшего материала, отрегулировать положение уголков, не допускать эксплуатацию мельницы с переувлажненным или излишне глинистым материалом.</w:t>
      </w:r>
    </w:p>
    <w:p w:rsidR="00EE4213" w:rsidRPr="00EE4213" w:rsidRDefault="00EE4213" w:rsidP="008969E2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Вращение ускорителя затруднено из-за «</w:t>
      </w:r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завала</w:t>
      </w: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» мельницы </w:t>
      </w:r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снизу</w:t>
      </w: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 переполнены разгрузочные патрубки камеры измельчения. Это может происходить в результате:</w:t>
      </w:r>
    </w:p>
    <w:p w:rsidR="00EE4213" w:rsidRPr="00EE4213" w:rsidRDefault="00EE4213" w:rsidP="008969E2">
      <w:pPr>
        <w:numPr>
          <w:ilvl w:val="1"/>
          <w:numId w:val="4"/>
        </w:numPr>
        <w:tabs>
          <w:tab w:val="num" w:pos="0"/>
          <w:tab w:val="num" w:pos="90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чрезмерно высокой влажности или недопустимо высокого содержания глинистой фракции в исходном дробимом материале;</w:t>
      </w:r>
    </w:p>
    <w:p w:rsidR="00EE4213" w:rsidRPr="00EE4213" w:rsidRDefault="00EE4213" w:rsidP="008969E2">
      <w:pPr>
        <w:numPr>
          <w:ilvl w:val="1"/>
          <w:numId w:val="4"/>
        </w:numPr>
        <w:tabs>
          <w:tab w:val="num" w:pos="0"/>
          <w:tab w:val="num" w:pos="90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отключения или переполнения конвейера, отводящего измельченный продукт.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Следует произвести очистку мельницы, обеспечить работу отводящего конвейера, снизить скорость подачи материала в мельницу, не допускать эксплуатацию мельницы с переувлажненным или излишне глинистым материалом.</w:t>
      </w:r>
    </w:p>
    <w:p w:rsidR="00595C64" w:rsidRPr="00595C64" w:rsidRDefault="00EE4213" w:rsidP="008969E2">
      <w:pPr>
        <w:numPr>
          <w:ilvl w:val="0"/>
          <w:numId w:val="3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Сильная прецессия системы ротор + ускоритель: </w:t>
      </w:r>
      <w:proofErr w:type="spellStart"/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бóльшая</w:t>
      </w:r>
      <w:proofErr w:type="spellEnd"/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часть подводимой от двигателя энергии тратится на возбуждение нутационных колебаний. </w:t>
      </w:r>
    </w:p>
    <w:p w:rsidR="00EE4213" w:rsidRPr="00EE4213" w:rsidRDefault="00EE4213" w:rsidP="00595C6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Падение скорости вращения ротора по этой причине сопровождается, как правило, резким увеличением уровня вибрации и может диагностироваться системой автоматики мельницы как «</w:t>
      </w:r>
      <w:r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повышенная вибрация</w:t>
      </w: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 (см. ниже).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E4213" w:rsidRPr="00EE4213" w:rsidRDefault="00174A19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5.</w:t>
      </w:r>
      <w:r w:rsidR="00EE4213" w:rsidRPr="00EE421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«Повышенная вибрация» (в случае, если уровень вибрации корпуса мельницы превышал значение 8 мм/с в течение более восьми секунд в режиме «Мельница работает», происходит аварийная остановка мельницы).</w:t>
      </w:r>
    </w:p>
    <w:p w:rsidR="00EE4213" w:rsidRPr="00EE4213" w:rsidRDefault="00EE4213" w:rsidP="008969E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C64" w:rsidRDefault="00EE4213" w:rsidP="00595C6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 уровня вибрации (а иногда и вызванные прецессией нутационные колебания вращающейся системы) может вызываться любым из перечисленных ранее возмущений (см. раздел </w:t>
      </w:r>
      <w:bookmarkStart w:id="6" w:name="_Toc95906197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1.3.2.2.</w:t>
      </w:r>
      <w:proofErr w:type="gramEnd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«Принципы, лежащие в основе использования воздушной опоры</w:t>
      </w:r>
      <w:bookmarkEnd w:id="6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»), однако, чаще всего возникновение повышенной вибрации бывает связано с нарушениями балансировки и (или) несовпадением (смещением или перекосом) оси шлицевого вала и главной оси инерции ускорителя, а именно: </w:t>
      </w:r>
      <w:proofErr w:type="gramEnd"/>
    </w:p>
    <w:p w:rsidR="00EE4213" w:rsidRPr="00595C64" w:rsidRDefault="00EE4213" w:rsidP="00595C64">
      <w:pPr>
        <w:widowControl w:val="0"/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9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одном из каналов ускорителя застрял крупный кусок материала или посторонний предмет (возможно попадание инструмента, кусков кабеля, остатков сварочных электродов, ветоши и т.п.);</w:t>
      </w:r>
      <w:proofErr w:type="gramEnd"/>
    </w:p>
    <w:p w:rsidR="00EE4213" w:rsidRPr="00EE4213" w:rsidRDefault="00EE4213" w:rsidP="008969E2">
      <w:pPr>
        <w:widowControl w:val="0"/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Неравномерно залег футерующий материал в каналах ускорителя с последующей их закупоркой.</w:t>
      </w:r>
    </w:p>
    <w:p w:rsidR="00EE4213" w:rsidRPr="00EE4213" w:rsidRDefault="00EE4213" w:rsidP="008969E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обоих случаях необходимо очистить каналы ускорителя и заново произвести начальную футеровку. Толщина залегания футеровки в каналах ускорителя регулируется положением и формой уголков </w:t>
      </w:r>
      <w:r w:rsidRPr="00EE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(см. </w:t>
      </w:r>
      <w:r w:rsidRPr="00EE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11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E4213" w:rsidRPr="00EE4213" w:rsidRDefault="00EE4213" w:rsidP="008969E2">
      <w:pPr>
        <w:widowControl w:val="0"/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Неравномерный износ или повреждение лопаток ускорителя: необходимо провести замену лопаток, причем для трехканального ускорителя необходима замена всех трех лопаток, а в случае четырехканального ускорителя допускается замена двух лопаток в противоположных друг другу каналах.</w:t>
      </w:r>
    </w:p>
    <w:p w:rsidR="00EE4213" w:rsidRPr="00EE4213" w:rsidRDefault="00EE4213" w:rsidP="008969E2">
      <w:pPr>
        <w:widowControl w:val="0"/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Несимметричный износ или повреждение подкладных листов, элементов корпуса ускорителя: требуется ремонт и (или) замена поврежденных элементов.</w:t>
      </w:r>
    </w:p>
    <w:p w:rsidR="00EE4213" w:rsidRPr="00EE4213" w:rsidRDefault="00EE4213" w:rsidP="008969E2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Во всех случаях замены элементов ускорителя необходимо проведение статической балансировки и начальной футеровки ускорителя.</w:t>
      </w:r>
    </w:p>
    <w:p w:rsidR="00EE4213" w:rsidRPr="00EE4213" w:rsidRDefault="00EE4213" w:rsidP="008969E2">
      <w:pPr>
        <w:widowControl w:val="0"/>
        <w:numPr>
          <w:ilvl w:val="0"/>
          <w:numId w:val="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затянут центральный болт крепления ускорителя, или имеется перекос установки ускорителя относительно оси шлицевого вала: проверить качество сопрягаемых поверхностей и затянуть центральный болт.</w:t>
      </w:r>
    </w:p>
    <w:p w:rsidR="006C63BB" w:rsidRDefault="006C63BB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="006C6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возникают сомнения в том, является ли источником возмущений ускоритель, необходимо запустить мельницу на холостом ходу без ускорителя и проконтролировать уровень вибрации. Если он близок к обычно </w:t>
      </w:r>
      <w:proofErr w:type="gramStart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регистрируемому</w:t>
      </w:r>
      <w:proofErr w:type="gramEnd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видимые глазом нутационные колебания (регулярная прецессия) оси шлицевого вала отсутствуют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customMarkFollows="1" w:id="3"/>
        <w:sym w:font="Symbol" w:char="F02A"/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причиной возникновения вибрации является ускоритель (или правильность его установки) даже в случае, когда он не имеет видимых дефектов и повреждений.</w:t>
      </w:r>
    </w:p>
    <w:p w:rsidR="00EE4213" w:rsidRPr="00EE4213" w:rsidRDefault="00EE4213" w:rsidP="008969E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при работе мельницы без ускорителя наблюдается повышенный уровень вибрации и (или) нутационные колебания оси шлицевого вала ротора, то это свидетельствует о наличии отклонений в значениях геометрических или динамических параметров центрального модуля мельницы.</w:t>
      </w:r>
    </w:p>
    <w:p w:rsidR="00EE4213" w:rsidRPr="00EE4213" w:rsidRDefault="00EE4213" w:rsidP="008969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поиска конкретной причины возникших нарушений состоит в выполнении последовательности проверок, изложенных в разделе </w:t>
      </w:r>
      <w:r w:rsidRPr="00EE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п.3.6.4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7" w:name="_Toc95906232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«Периодический контроль </w:t>
      </w:r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технического состояния подвижных узлов мельницы</w:t>
      </w:r>
      <w:bookmarkEnd w:id="7"/>
      <w:r w:rsidRPr="00EE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проведении описанных регулировок и устранении обнаруженных дефектов.</w:t>
      </w:r>
    </w:p>
    <w:p w:rsidR="00EE4213" w:rsidRPr="00EE4213" w:rsidRDefault="00EE4213" w:rsidP="008969E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21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br w:type="page"/>
      </w:r>
    </w:p>
    <w:p w:rsidR="00EE4213" w:rsidRPr="00EE4213" w:rsidRDefault="00EE4213" w:rsidP="008969E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213" w:rsidRPr="00EE4213" w:rsidRDefault="00EE4213" w:rsidP="008969E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7E7C" w:rsidRDefault="00287E7C" w:rsidP="008969E2">
      <w:pPr>
        <w:spacing w:after="0" w:line="240" w:lineRule="auto"/>
      </w:pPr>
    </w:p>
    <w:sectPr w:rsidR="00287E7C" w:rsidSect="006C63BB">
      <w:headerReference w:type="default" r:id="rId8"/>
      <w:footerReference w:type="default" r:id="rId9"/>
      <w:pgSz w:w="11906" w:h="16838"/>
      <w:pgMar w:top="1134" w:right="850" w:bottom="851" w:left="1701" w:header="142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FF" w:rsidRDefault="00563CFF" w:rsidP="00EE4213">
      <w:pPr>
        <w:spacing w:after="0" w:line="240" w:lineRule="auto"/>
      </w:pPr>
      <w:r>
        <w:separator/>
      </w:r>
    </w:p>
  </w:endnote>
  <w:endnote w:type="continuationSeparator" w:id="0">
    <w:p w:rsidR="00563CFF" w:rsidRDefault="00563CFF" w:rsidP="00EE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E2" w:rsidRPr="008969E2" w:rsidRDefault="008969E2" w:rsidP="008969E2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8969E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8969E2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7844A3" w:rsidRDefault="00F971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FF" w:rsidRDefault="00563CFF" w:rsidP="00EE4213">
      <w:pPr>
        <w:spacing w:after="0" w:line="240" w:lineRule="auto"/>
      </w:pPr>
      <w:r>
        <w:separator/>
      </w:r>
    </w:p>
  </w:footnote>
  <w:footnote w:type="continuationSeparator" w:id="0">
    <w:p w:rsidR="00563CFF" w:rsidRDefault="00563CFF" w:rsidP="00EE4213">
      <w:pPr>
        <w:spacing w:after="0" w:line="240" w:lineRule="auto"/>
      </w:pPr>
      <w:r>
        <w:continuationSeparator/>
      </w:r>
    </w:p>
  </w:footnote>
  <w:footnote w:id="1">
    <w:p w:rsidR="00EE4213" w:rsidRDefault="00EE4213" w:rsidP="00EE4213">
      <w:pPr>
        <w:jc w:val="both"/>
        <w:rPr>
          <w:sz w:val="20"/>
        </w:rPr>
      </w:pPr>
      <w:r>
        <w:rPr>
          <w:rStyle w:val="a5"/>
        </w:rPr>
        <w:sym w:font="Symbol" w:char="F02A"/>
      </w:r>
      <w:r>
        <w:t xml:space="preserve"> </w:t>
      </w:r>
      <w:r>
        <w:rPr>
          <w:sz w:val="20"/>
        </w:rPr>
        <w:t xml:space="preserve">Необходимо заметить, что, как и во всех случаях, когда выполнение тех или иных действий зависит от сравнения непрерывно меняющихся значений параметра с некоторым пороговым значением, задание такого порогового значения весьма условно, и принятие решения не может считаться вполне однозначным. В нашем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это означает, что, например, падение частоты вращения ротора на 5 %, приводящее к аварийной остановке дробилки, в действительности</w:t>
      </w:r>
      <w:r>
        <w:rPr>
          <w:b/>
          <w:sz w:val="20"/>
        </w:rPr>
        <w:t xml:space="preserve"> </w:t>
      </w:r>
      <w:r>
        <w:rPr>
          <w:sz w:val="20"/>
        </w:rPr>
        <w:t>мало чем отличается по уровню</w:t>
      </w:r>
      <w:r>
        <w:rPr>
          <w:b/>
          <w:sz w:val="20"/>
        </w:rPr>
        <w:t xml:space="preserve"> </w:t>
      </w:r>
      <w:r>
        <w:rPr>
          <w:sz w:val="20"/>
        </w:rPr>
        <w:t>вызвавших его воздействий от падения частоты вращения на 4.9 %, при котором дробилка продолжает работать.</w:t>
      </w:r>
    </w:p>
  </w:footnote>
  <w:footnote w:id="2">
    <w:p w:rsidR="00EE4213" w:rsidRDefault="00EE4213" w:rsidP="00EE4213">
      <w:pPr>
        <w:pStyle w:val="a3"/>
      </w:pPr>
      <w:r>
        <w:rPr>
          <w:rStyle w:val="a5"/>
          <w:sz w:val="24"/>
        </w:rPr>
        <w:sym w:font="Symbol" w:char="F02A"/>
      </w:r>
      <w:r>
        <w:t xml:space="preserve"> Не рассматриваются неисправности, к возникновению которых приводят такие очевидные причины, как нарушения в подаче электропитания, механические поломки, выход из строя электродвигателей и т.п.</w:t>
      </w:r>
    </w:p>
  </w:footnote>
  <w:footnote w:id="3">
    <w:p w:rsidR="00EE4213" w:rsidRDefault="00EE4213" w:rsidP="00EE4213">
      <w:pPr>
        <w:pStyle w:val="a3"/>
        <w:jc w:val="both"/>
      </w:pPr>
      <w:r>
        <w:rPr>
          <w:rStyle w:val="a5"/>
          <w:sz w:val="24"/>
        </w:rPr>
        <w:sym w:font="Symbol" w:char="F02A"/>
      </w:r>
      <w:r>
        <w:rPr>
          <w:sz w:val="24"/>
        </w:rPr>
        <w:t xml:space="preserve"> </w:t>
      </w:r>
      <w:proofErr w:type="gramStart"/>
      <w:r>
        <w:t xml:space="preserve">О наличии прецессии вращающейся системы, приводящей к нутационным колебаниям, свидетельствуют также следы попыток резинового амортизатора вращаться в направлении, противоположном направлению вращения ротора: деформация резины вблизи отверстий под болты фиксации амортизатора, наличие глубокой выработки на верхней плоскости амортизатора в результате трения об опорный фланец ПШУ, искривление болтов крепления опорного фланца ПШУ и т.п.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E2" w:rsidRPr="008969E2" w:rsidRDefault="00F971D6" w:rsidP="008969E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Arial" w:eastAsia="Times New Roman" w:hAnsi="Arial" w:cs="Arial"/>
        <w:noProof/>
        <w:color w:val="000000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50" DrawAspect="Content" ObjectID="_1565627757" r:id="rId2"/>
      </w:pict>
    </w:r>
    <w:r w:rsidR="008969E2" w:rsidRPr="008969E2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Редактор сайта - Игнатов Владимир Иванович</w:t>
    </w:r>
  </w:p>
  <w:p w:rsidR="008969E2" w:rsidRPr="008969E2" w:rsidRDefault="008969E2" w:rsidP="008969E2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8969E2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8969E2" w:rsidRPr="008969E2" w:rsidRDefault="008969E2" w:rsidP="008969E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ru-RU"/>
      </w:rPr>
    </w:pPr>
    <w:r w:rsidRPr="008969E2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   Моб</w:t>
    </w:r>
    <w:r w:rsidRPr="008969E2">
      <w:rPr>
        <w:rFonts w:ascii="Arial" w:eastAsia="Times New Roman" w:hAnsi="Arial" w:cs="Arial"/>
        <w:sz w:val="20"/>
        <w:szCs w:val="20"/>
        <w:lang w:val="en-US" w:eastAsia="ru-RU"/>
      </w:rPr>
      <w:t xml:space="preserve">.: +7(921) 882-39-51  E-mail: ignatov@tempspb.ru </w:t>
    </w:r>
  </w:p>
  <w:p w:rsidR="007844A3" w:rsidRPr="007844A3" w:rsidRDefault="00F971D6" w:rsidP="007844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1B9"/>
    <w:multiLevelType w:val="hybridMultilevel"/>
    <w:tmpl w:val="8E606656"/>
    <w:lvl w:ilvl="0" w:tplc="167A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A190D"/>
    <w:multiLevelType w:val="hybridMultilevel"/>
    <w:tmpl w:val="5BE00E46"/>
    <w:lvl w:ilvl="0" w:tplc="167A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C5044"/>
    <w:multiLevelType w:val="hybridMultilevel"/>
    <w:tmpl w:val="A85EA6F6"/>
    <w:lvl w:ilvl="0" w:tplc="EAC41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9E62B798">
      <w:start w:val="1"/>
      <w:numFmt w:val="bullet"/>
      <w:lvlText w:val="–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AF06F2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F0672"/>
    <w:multiLevelType w:val="hybridMultilevel"/>
    <w:tmpl w:val="EA2ADACA"/>
    <w:lvl w:ilvl="0" w:tplc="167A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A3FF2"/>
    <w:multiLevelType w:val="hybridMultilevel"/>
    <w:tmpl w:val="7FE8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B798">
      <w:start w:val="1"/>
      <w:numFmt w:val="bullet"/>
      <w:lvlText w:val="–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1B"/>
    <w:rsid w:val="00005A70"/>
    <w:rsid w:val="00006A44"/>
    <w:rsid w:val="00006A4B"/>
    <w:rsid w:val="00010A7D"/>
    <w:rsid w:val="00010F17"/>
    <w:rsid w:val="000213F9"/>
    <w:rsid w:val="00023981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74A19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B3111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6EE9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3F73E4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3CFF"/>
    <w:rsid w:val="00567554"/>
    <w:rsid w:val="0056769D"/>
    <w:rsid w:val="0057001A"/>
    <w:rsid w:val="00581056"/>
    <w:rsid w:val="0058730F"/>
    <w:rsid w:val="00587340"/>
    <w:rsid w:val="00595C64"/>
    <w:rsid w:val="005A14B1"/>
    <w:rsid w:val="005A19FD"/>
    <w:rsid w:val="005A236E"/>
    <w:rsid w:val="005A4DFA"/>
    <w:rsid w:val="005B2095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243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C63BB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4BD9"/>
    <w:rsid w:val="00836D37"/>
    <w:rsid w:val="00840A4E"/>
    <w:rsid w:val="00842AA4"/>
    <w:rsid w:val="0084515E"/>
    <w:rsid w:val="0084680F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69E2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61B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068D5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3C32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4478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96C77"/>
    <w:rsid w:val="00CA5E78"/>
    <w:rsid w:val="00CA78D6"/>
    <w:rsid w:val="00CB05F7"/>
    <w:rsid w:val="00CB30B8"/>
    <w:rsid w:val="00CB3B62"/>
    <w:rsid w:val="00CB3EC7"/>
    <w:rsid w:val="00CB6D92"/>
    <w:rsid w:val="00CD0929"/>
    <w:rsid w:val="00CD42B1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15DF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4213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1604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1D6"/>
    <w:rsid w:val="00F97BA1"/>
    <w:rsid w:val="00F97F4E"/>
    <w:rsid w:val="00FA3D44"/>
    <w:rsid w:val="00FA428A"/>
    <w:rsid w:val="00FA4EB8"/>
    <w:rsid w:val="00FA6E1C"/>
    <w:rsid w:val="00FB227F"/>
    <w:rsid w:val="00FB507D"/>
    <w:rsid w:val="00FB60DC"/>
    <w:rsid w:val="00FC2153"/>
    <w:rsid w:val="00FD0896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4213"/>
    <w:pPr>
      <w:snapToGri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E421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E421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E4213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42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4213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421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4213"/>
    <w:pPr>
      <w:snapToGri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E421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E421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E4213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42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4213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421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10</cp:revision>
  <dcterms:created xsi:type="dcterms:W3CDTF">2017-08-30T15:28:00Z</dcterms:created>
  <dcterms:modified xsi:type="dcterms:W3CDTF">2017-08-30T15:49:00Z</dcterms:modified>
</cp:coreProperties>
</file>